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C589" w14:textId="77777777" w:rsidR="007C54B1" w:rsidRPr="007C54B1" w:rsidRDefault="007C54B1" w:rsidP="007C54B1">
      <w:pPr>
        <w:spacing w:after="0" w:line="240" w:lineRule="auto"/>
        <w:jc w:val="center"/>
        <w:rPr>
          <w:rFonts w:ascii="Times New Roman" w:hAnsi="Times New Roman" w:cs="Times New Roman"/>
          <w:i/>
          <w:iCs/>
          <w:sz w:val="24"/>
          <w:szCs w:val="24"/>
        </w:rPr>
      </w:pPr>
      <w:bookmarkStart w:id="0" w:name="_GoBack"/>
      <w:bookmarkEnd w:id="0"/>
      <w:r w:rsidRPr="007C54B1">
        <w:rPr>
          <w:rFonts w:ascii="Times New Roman" w:hAnsi="Times New Roman" w:cs="Times New Roman"/>
          <w:i/>
          <w:iCs/>
          <w:sz w:val="24"/>
          <w:szCs w:val="24"/>
        </w:rPr>
        <w:t>Para obtener información en español, visite www.consumerfinance.gov/learnmore o escriba a: Consumer Financial Protection Bureau, 1700 G Street N.W., Washington, DC 20552.</w:t>
      </w:r>
    </w:p>
    <w:p w14:paraId="1292EA85" w14:textId="77777777" w:rsidR="007C54B1" w:rsidRPr="007C54B1" w:rsidRDefault="007C54B1" w:rsidP="007C54B1">
      <w:pPr>
        <w:spacing w:after="0" w:line="240" w:lineRule="auto"/>
        <w:rPr>
          <w:rFonts w:ascii="Times New Roman" w:hAnsi="Times New Roman" w:cs="Times New Roman"/>
          <w:sz w:val="24"/>
          <w:szCs w:val="24"/>
        </w:rPr>
      </w:pPr>
    </w:p>
    <w:p w14:paraId="293BAA50" w14:textId="77777777" w:rsidR="007C54B1" w:rsidRPr="00C747C1" w:rsidRDefault="007C54B1" w:rsidP="00C747C1">
      <w:pPr>
        <w:pStyle w:val="Title"/>
      </w:pPr>
      <w:r w:rsidRPr="00C747C1">
        <w:t>Un resumen de sus derechos en virtud de la Ley de Informe Justo de Crédito</w:t>
      </w:r>
    </w:p>
    <w:p w14:paraId="7101892A" w14:textId="77777777" w:rsidR="007C54B1" w:rsidRPr="007C54B1" w:rsidRDefault="007C54B1" w:rsidP="007C54B1">
      <w:pPr>
        <w:spacing w:after="0" w:line="240" w:lineRule="auto"/>
        <w:jc w:val="center"/>
        <w:rPr>
          <w:rFonts w:ascii="Times New Roman" w:hAnsi="Times New Roman" w:cs="Times New Roman"/>
          <w:b/>
          <w:bCs/>
          <w:sz w:val="28"/>
        </w:rPr>
      </w:pPr>
    </w:p>
    <w:p w14:paraId="62F802BF" w14:textId="77777777" w:rsidR="007C54B1" w:rsidRPr="007C54B1" w:rsidRDefault="007C54B1" w:rsidP="007C54B1">
      <w:pPr>
        <w:spacing w:after="0" w:line="240" w:lineRule="auto"/>
        <w:ind w:firstLine="720"/>
        <w:rPr>
          <w:rFonts w:ascii="Times New Roman" w:hAnsi="Times New Roman" w:cs="Times New Roman"/>
          <w:sz w:val="24"/>
          <w:szCs w:val="24"/>
        </w:rPr>
      </w:pPr>
      <w:r w:rsidRPr="007C54B1">
        <w:rPr>
          <w:rFonts w:ascii="Times New Roman" w:hAnsi="Times New Roman" w:cs="Times New Roman"/>
          <w:sz w:val="24"/>
          <w:szCs w:val="24"/>
        </w:rP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sidRPr="007C54B1">
        <w:rPr>
          <w:rFonts w:ascii="Times New Roman" w:hAnsi="Times New Roman" w:cs="Times New Roman"/>
          <w:b/>
          <w:bCs/>
          <w:sz w:val="24"/>
          <w:szCs w:val="24"/>
        </w:rPr>
        <w:t xml:space="preserve">Para obtener más información, incluyendo información sobre derechos adicionales, visite </w:t>
      </w:r>
      <w:hyperlink r:id="rId7" w:history="1">
        <w:r w:rsidRPr="007C54B1">
          <w:rPr>
            <w:rFonts w:ascii="Times New Roman" w:eastAsia="Times New Roman" w:hAnsi="Times New Roman" w:cs="Times New Roman"/>
            <w:color w:val="0066CC"/>
            <w:sz w:val="24"/>
            <w:szCs w:val="24"/>
            <w:u w:val="thick" w:color="0066CC"/>
            <w:lang w:bidi="ar-SA"/>
          </w:rPr>
          <w:t>www.consumerfinance.gov/learnmore</w:t>
        </w:r>
      </w:hyperlink>
      <w:r w:rsidRPr="007C54B1">
        <w:rPr>
          <w:rFonts w:ascii="Times New Roman" w:hAnsi="Times New Roman" w:cs="Times New Roman"/>
          <w:b/>
          <w:bCs/>
          <w:sz w:val="24"/>
          <w:szCs w:val="24"/>
        </w:rPr>
        <w:t xml:space="preserve"> o escriba a: Consumer Financial Protection Bureau, 1700 G Street N.W., Washington, DC 20552.</w:t>
      </w:r>
    </w:p>
    <w:p w14:paraId="5F8E4834" w14:textId="77777777" w:rsidR="007C54B1" w:rsidRPr="007C54B1" w:rsidRDefault="007C54B1" w:rsidP="007C54B1">
      <w:pPr>
        <w:spacing w:after="0" w:line="240" w:lineRule="auto"/>
        <w:rPr>
          <w:rFonts w:ascii="Times New Roman" w:hAnsi="Times New Roman" w:cs="Times New Roman"/>
          <w:sz w:val="24"/>
          <w:szCs w:val="24"/>
        </w:rPr>
      </w:pPr>
    </w:p>
    <w:p w14:paraId="7074E587" w14:textId="77777777" w:rsidR="007C54B1" w:rsidRPr="007C54B1" w:rsidRDefault="007C54B1" w:rsidP="007C54B1">
      <w:pPr>
        <w:pStyle w:val="ListParagraph"/>
        <w:numPr>
          <w:ilvl w:val="0"/>
          <w:numId w:val="1"/>
        </w:numPr>
        <w:spacing w:after="0" w:line="240" w:lineRule="auto"/>
        <w:rPr>
          <w:rFonts w:ascii="Times New Roman" w:hAnsi="Times New Roman" w:cs="Times New Roman"/>
          <w:sz w:val="24"/>
          <w:szCs w:val="24"/>
        </w:rPr>
      </w:pPr>
      <w:r w:rsidRPr="00C747C1">
        <w:rPr>
          <w:rStyle w:val="Strong"/>
        </w:rPr>
        <w:t>Deben notificarle si la información contenida en su archivo se ha utilizado en su contra.</w:t>
      </w:r>
      <w:r w:rsidRPr="007C54B1">
        <w:rPr>
          <w:rFonts w:ascii="Times New Roman" w:hAnsi="Times New Roman" w:cs="Times New Roman"/>
          <w:sz w:val="24"/>
          <w:szCs w:val="24"/>
        </w:rPr>
        <w:t xml:space="preserve"> Todo aquel que utilice un informe de crédito u otro tipo de informe de consumidor para denegar su solicitud de crédito, seguro o empleo, o para emprender otra acción adversa en su contra, debe informarle y debe darle el nombre, la dirección y el número de teléfono de la agencia que proporcionó esa información.</w:t>
      </w:r>
    </w:p>
    <w:p w14:paraId="4F9668CC" w14:textId="77777777" w:rsidR="007C54B1" w:rsidRPr="007C54B1" w:rsidRDefault="007C54B1" w:rsidP="007C54B1">
      <w:pPr>
        <w:spacing w:after="0" w:line="240" w:lineRule="auto"/>
        <w:rPr>
          <w:rFonts w:ascii="Times New Roman" w:hAnsi="Times New Roman" w:cs="Times New Roman"/>
          <w:sz w:val="24"/>
          <w:szCs w:val="24"/>
        </w:rPr>
      </w:pPr>
    </w:p>
    <w:p w14:paraId="583F4495" w14:textId="77777777" w:rsidR="007C54B1" w:rsidRDefault="007C54B1" w:rsidP="007C54B1">
      <w:pPr>
        <w:pStyle w:val="ListParagraph"/>
        <w:numPr>
          <w:ilvl w:val="0"/>
          <w:numId w:val="1"/>
        </w:numPr>
        <w:spacing w:after="0" w:line="240" w:lineRule="auto"/>
        <w:rPr>
          <w:rFonts w:ascii="Times New Roman" w:hAnsi="Times New Roman" w:cs="Times New Roman"/>
          <w:sz w:val="24"/>
          <w:szCs w:val="24"/>
        </w:rPr>
      </w:pPr>
      <w:r w:rsidRPr="00C747C1">
        <w:rPr>
          <w:rStyle w:val="Strong"/>
        </w:rPr>
        <w:t xml:space="preserve">Usted tiene derecho a saber lo que contiene su archivo. </w:t>
      </w:r>
      <w:r w:rsidRPr="007C54B1">
        <w:rPr>
          <w:rFonts w:ascii="Times New Roman" w:hAnsi="Times New Roman" w:cs="Times New Roman"/>
          <w:sz w:val="24"/>
          <w:szCs w:val="24"/>
        </w:rPr>
        <w:t>Usted puede solicitar y obtener toda la información registrada bajo su nombre en los archivos de una agencia de informe del 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 si:</w:t>
      </w:r>
    </w:p>
    <w:p w14:paraId="0E36E63E" w14:textId="77777777" w:rsidR="007C54B1" w:rsidRPr="007C54B1" w:rsidRDefault="007C54B1" w:rsidP="007C54B1">
      <w:pPr>
        <w:pStyle w:val="ListParagraph"/>
        <w:rPr>
          <w:rFonts w:ascii="Times New Roman" w:hAnsi="Times New Roman" w:cs="Times New Roman"/>
          <w:sz w:val="24"/>
          <w:szCs w:val="24"/>
        </w:rPr>
      </w:pPr>
    </w:p>
    <w:p w14:paraId="6B2B9164" w14:textId="77777777" w:rsidR="007C54B1" w:rsidRDefault="007C54B1" w:rsidP="007C54B1">
      <w:pPr>
        <w:pStyle w:val="ListParagraph"/>
        <w:numPr>
          <w:ilvl w:val="1"/>
          <w:numId w:val="1"/>
        </w:numPr>
        <w:spacing w:after="0" w:line="240" w:lineRule="auto"/>
        <w:rPr>
          <w:rFonts w:ascii="Times New Roman" w:hAnsi="Times New Roman" w:cs="Times New Roman"/>
          <w:sz w:val="24"/>
          <w:szCs w:val="24"/>
        </w:rPr>
      </w:pPr>
      <w:r w:rsidRPr="007C54B1">
        <w:rPr>
          <w:rFonts w:ascii="Times New Roman" w:hAnsi="Times New Roman" w:cs="Times New Roman"/>
          <w:sz w:val="24"/>
          <w:szCs w:val="24"/>
        </w:rPr>
        <w:t>Una persona ha emprendido una acción adversa en su contra debido a la información contenida en su informe de crédito.</w:t>
      </w:r>
    </w:p>
    <w:p w14:paraId="0175A45D" w14:textId="77777777" w:rsidR="007C54B1" w:rsidRDefault="007C54B1" w:rsidP="007C54B1">
      <w:pPr>
        <w:pStyle w:val="ListParagraph"/>
        <w:numPr>
          <w:ilvl w:val="1"/>
          <w:numId w:val="1"/>
        </w:numPr>
        <w:spacing w:after="0" w:line="240" w:lineRule="auto"/>
        <w:rPr>
          <w:rFonts w:ascii="Times New Roman" w:hAnsi="Times New Roman" w:cs="Times New Roman"/>
          <w:sz w:val="24"/>
          <w:szCs w:val="24"/>
        </w:rPr>
      </w:pPr>
      <w:r w:rsidRPr="007C54B1">
        <w:rPr>
          <w:rFonts w:ascii="Times New Roman" w:hAnsi="Times New Roman" w:cs="Times New Roman"/>
          <w:sz w:val="24"/>
          <w:szCs w:val="24"/>
        </w:rPr>
        <w:t>Usted es víctima de un robo de identidad y coloca una alerta de fraude en su archivo.</w:t>
      </w:r>
    </w:p>
    <w:p w14:paraId="192F4127" w14:textId="77777777" w:rsidR="007C54B1" w:rsidRDefault="007C54B1" w:rsidP="007C54B1">
      <w:pPr>
        <w:pStyle w:val="ListParagraph"/>
        <w:numPr>
          <w:ilvl w:val="1"/>
          <w:numId w:val="1"/>
        </w:numPr>
        <w:spacing w:after="0" w:line="240" w:lineRule="auto"/>
        <w:rPr>
          <w:rFonts w:ascii="Times New Roman" w:hAnsi="Times New Roman" w:cs="Times New Roman"/>
          <w:sz w:val="24"/>
          <w:szCs w:val="24"/>
        </w:rPr>
      </w:pPr>
      <w:r w:rsidRPr="007C54B1">
        <w:rPr>
          <w:rFonts w:ascii="Times New Roman" w:hAnsi="Times New Roman" w:cs="Times New Roman"/>
          <w:sz w:val="24"/>
          <w:szCs w:val="24"/>
        </w:rPr>
        <w:t>Su archivo contiene información inexacta como resultado de fraude.</w:t>
      </w:r>
    </w:p>
    <w:p w14:paraId="44E345F1" w14:textId="77777777" w:rsidR="007C54B1" w:rsidRDefault="007C54B1" w:rsidP="007C54B1">
      <w:pPr>
        <w:pStyle w:val="ListParagraph"/>
        <w:numPr>
          <w:ilvl w:val="1"/>
          <w:numId w:val="1"/>
        </w:numPr>
        <w:spacing w:after="0" w:line="240" w:lineRule="auto"/>
        <w:rPr>
          <w:rFonts w:ascii="Times New Roman" w:hAnsi="Times New Roman" w:cs="Times New Roman"/>
          <w:sz w:val="24"/>
          <w:szCs w:val="24"/>
        </w:rPr>
      </w:pPr>
      <w:r w:rsidRPr="007C54B1">
        <w:rPr>
          <w:rFonts w:ascii="Times New Roman" w:hAnsi="Times New Roman" w:cs="Times New Roman"/>
          <w:sz w:val="24"/>
          <w:szCs w:val="24"/>
        </w:rPr>
        <w:t>Usted recibe asistencia pública.</w:t>
      </w:r>
    </w:p>
    <w:p w14:paraId="5DFF0C8C" w14:textId="77777777" w:rsidR="007C54B1" w:rsidRPr="007C54B1" w:rsidRDefault="007C54B1" w:rsidP="007C54B1">
      <w:pPr>
        <w:pStyle w:val="ListParagraph"/>
        <w:numPr>
          <w:ilvl w:val="1"/>
          <w:numId w:val="1"/>
        </w:numPr>
        <w:spacing w:after="0" w:line="240" w:lineRule="auto"/>
        <w:rPr>
          <w:rFonts w:ascii="Times New Roman" w:hAnsi="Times New Roman" w:cs="Times New Roman"/>
          <w:sz w:val="24"/>
          <w:szCs w:val="24"/>
        </w:rPr>
      </w:pPr>
      <w:r w:rsidRPr="007C54B1">
        <w:rPr>
          <w:rFonts w:ascii="Times New Roman" w:hAnsi="Times New Roman" w:cs="Times New Roman"/>
          <w:sz w:val="24"/>
          <w:szCs w:val="24"/>
        </w:rPr>
        <w:t>Usted no está empleado pero prevé solicitar empleo en un plazo de 60 días.</w:t>
      </w:r>
    </w:p>
    <w:p w14:paraId="1C913EDD" w14:textId="77777777" w:rsidR="007C54B1" w:rsidRPr="007C54B1" w:rsidRDefault="007C54B1" w:rsidP="007C54B1">
      <w:pPr>
        <w:spacing w:after="0" w:line="240" w:lineRule="auto"/>
        <w:rPr>
          <w:rFonts w:ascii="Times New Roman" w:hAnsi="Times New Roman" w:cs="Times New Roman"/>
          <w:sz w:val="24"/>
          <w:szCs w:val="24"/>
        </w:rPr>
      </w:pPr>
    </w:p>
    <w:p w14:paraId="0B255C43" w14:textId="77777777" w:rsidR="007C54B1" w:rsidRPr="007C54B1" w:rsidRDefault="007C54B1" w:rsidP="007C54B1">
      <w:pPr>
        <w:pStyle w:val="ListParagraph"/>
        <w:spacing w:after="0" w:line="240" w:lineRule="auto"/>
        <w:rPr>
          <w:rFonts w:ascii="Times New Roman" w:hAnsi="Times New Roman" w:cs="Times New Roman"/>
          <w:sz w:val="24"/>
          <w:szCs w:val="24"/>
        </w:rPr>
      </w:pPr>
      <w:r w:rsidRPr="007C54B1">
        <w:rPr>
          <w:rFonts w:ascii="Times New Roman" w:hAnsi="Times New Roman" w:cs="Times New Roman"/>
          <w:sz w:val="24"/>
          <w:szCs w:val="24"/>
        </w:rPr>
        <w:t>Asimismo, todos los consumidores tendrán derecho a recibir una copia gratuita de la información registrada en su archivo cada 12 meses si así se lo solicitan a cada agencia de crédito a nivel nacional y a las agencias especializadas de informe del consumidor a nivel nacional. Para obtener más información, visite www.consumerfinance.gov/learnmore.</w:t>
      </w:r>
    </w:p>
    <w:p w14:paraId="33511DC1" w14:textId="77777777" w:rsidR="007C54B1" w:rsidRPr="007C54B1" w:rsidRDefault="007C54B1" w:rsidP="007C54B1">
      <w:pPr>
        <w:spacing w:after="0" w:line="240" w:lineRule="auto"/>
        <w:rPr>
          <w:rFonts w:ascii="Times New Roman" w:hAnsi="Times New Roman" w:cs="Times New Roman"/>
          <w:sz w:val="24"/>
          <w:szCs w:val="24"/>
        </w:rPr>
      </w:pPr>
    </w:p>
    <w:p w14:paraId="49EF3D6B"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Usted tiene derecho a pedir su puntaje de crédito.</w:t>
      </w:r>
      <w:r w:rsidRPr="007C54B1">
        <w:rPr>
          <w:rFonts w:ascii="Times New Roman" w:hAnsi="Times New Roman" w:cs="Times New Roman"/>
          <w:sz w:val="24"/>
          <w:szCs w:val="24"/>
        </w:rPr>
        <w:t xml:space="preserve"> Los puntajes de crédito son resúmenes numéricos de su solvencia de crédito basados en la información de las agencias de crédito. 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 gratuitamente.</w:t>
      </w:r>
    </w:p>
    <w:p w14:paraId="7A141692" w14:textId="77777777" w:rsidR="007C54B1" w:rsidRPr="007C54B1" w:rsidRDefault="007C54B1" w:rsidP="007C54B1">
      <w:pPr>
        <w:spacing w:after="0" w:line="240" w:lineRule="auto"/>
        <w:rPr>
          <w:rFonts w:ascii="Times New Roman" w:hAnsi="Times New Roman" w:cs="Times New Roman"/>
          <w:sz w:val="24"/>
          <w:szCs w:val="24"/>
        </w:rPr>
      </w:pPr>
    </w:p>
    <w:p w14:paraId="6FB2E409"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lastRenderedPageBreak/>
        <w:t xml:space="preserve">Usted tiene derecho a impugnar la información incompleta o inexacta. </w:t>
      </w:r>
      <w:r w:rsidRPr="007C54B1">
        <w:rPr>
          <w:rFonts w:ascii="Times New Roman" w:hAnsi="Times New Roman" w:cs="Times New Roman"/>
          <w:sz w:val="24"/>
          <w:szCs w:val="24"/>
        </w:rPr>
        <w:t>Si usted identifica información en su archivo que es incompleta o inexacta, y la reporta a la agencia de informe del consumidor, la agencia debe investigar, a menos que su impugnación sea frívola. Para consultar una explicación sobre los procedimientos de impugnación, visite www.consumerfinance.gov/learnmore.</w:t>
      </w:r>
    </w:p>
    <w:p w14:paraId="3CE316FE" w14:textId="77777777" w:rsidR="007C54B1" w:rsidRPr="007C54B1" w:rsidRDefault="007C54B1" w:rsidP="007C54B1">
      <w:pPr>
        <w:spacing w:after="0" w:line="240" w:lineRule="auto"/>
        <w:rPr>
          <w:rFonts w:ascii="Times New Roman" w:hAnsi="Times New Roman" w:cs="Times New Roman"/>
          <w:sz w:val="24"/>
          <w:szCs w:val="24"/>
        </w:rPr>
      </w:pPr>
    </w:p>
    <w:p w14:paraId="6EF5F380"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Las agencias de informe del consumidor deben corregir o eliminar la información inexacta, incompleta o no verificable.</w:t>
      </w:r>
      <w:r w:rsidRPr="007C54B1">
        <w:rPr>
          <w:rFonts w:ascii="Times New Roman" w:hAnsi="Times New Roman" w:cs="Times New Roman"/>
          <w:sz w:val="24"/>
          <w:szCs w:val="24"/>
        </w:rPr>
        <w:t xml:space="preserve"> La información inexacta, incompleta o no verificable debe ser eliminada o corregida, por lo general en un plazo de 30 días. No obstante, si una agencia de informe del consumidor verifica la exactitud de la información, puede seguir reportándola.</w:t>
      </w:r>
    </w:p>
    <w:p w14:paraId="6C8B5E8C" w14:textId="77777777" w:rsidR="007C54B1" w:rsidRPr="007C54B1" w:rsidRDefault="007C54B1" w:rsidP="007C54B1">
      <w:pPr>
        <w:spacing w:after="0" w:line="240" w:lineRule="auto"/>
        <w:rPr>
          <w:rFonts w:ascii="Times New Roman" w:hAnsi="Times New Roman" w:cs="Times New Roman"/>
          <w:sz w:val="24"/>
          <w:szCs w:val="24"/>
        </w:rPr>
      </w:pPr>
    </w:p>
    <w:p w14:paraId="39B7142D"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Las agencias de informe del consumidor no pueden reportar información negativa desactualizada.</w:t>
      </w:r>
      <w:r w:rsidRPr="007C54B1">
        <w:rPr>
          <w:rFonts w:ascii="Times New Roman" w:hAnsi="Times New Roman" w:cs="Times New Roman"/>
          <w:sz w:val="24"/>
          <w:szCs w:val="24"/>
        </w:rPr>
        <w:t xml:space="preserve"> En la mayoría de los casos, una agencia de informe del consumidor no puede reportar información negativa ocurrida hace más de siete años, ni quiebras ocurridas hace más de 10 años.</w:t>
      </w:r>
    </w:p>
    <w:p w14:paraId="3F8DCACE" w14:textId="77777777" w:rsidR="007C54B1" w:rsidRPr="007C54B1" w:rsidRDefault="007C54B1" w:rsidP="007C54B1">
      <w:pPr>
        <w:spacing w:after="0" w:line="240" w:lineRule="auto"/>
        <w:rPr>
          <w:rFonts w:ascii="Times New Roman" w:hAnsi="Times New Roman" w:cs="Times New Roman"/>
          <w:sz w:val="24"/>
          <w:szCs w:val="24"/>
        </w:rPr>
      </w:pPr>
    </w:p>
    <w:p w14:paraId="3DAA0D1D"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El acceso a su archivo es limitado.</w:t>
      </w:r>
      <w:r w:rsidRPr="007C54B1">
        <w:rPr>
          <w:rFonts w:ascii="Times New Roman" w:hAnsi="Times New Roman" w:cs="Times New Roman"/>
          <w:sz w:val="24"/>
          <w:szCs w:val="24"/>
        </w:rPr>
        <w:t xml:space="preserve"> 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 acceso.</w:t>
      </w:r>
    </w:p>
    <w:p w14:paraId="3FC5E7EE" w14:textId="77777777" w:rsidR="007C54B1" w:rsidRPr="007C54B1" w:rsidRDefault="007C54B1" w:rsidP="007C54B1">
      <w:pPr>
        <w:spacing w:after="0" w:line="240" w:lineRule="auto"/>
        <w:rPr>
          <w:rFonts w:ascii="Times New Roman" w:hAnsi="Times New Roman" w:cs="Times New Roman"/>
          <w:sz w:val="24"/>
          <w:szCs w:val="24"/>
        </w:rPr>
      </w:pPr>
    </w:p>
    <w:p w14:paraId="265F597F"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Usted debe otorgar su consentimiento para que se envíen sus informes a los empleadores.</w:t>
      </w:r>
      <w:r w:rsidRPr="007C54B1">
        <w:rPr>
          <w:rFonts w:ascii="Times New Roman" w:hAnsi="Times New Roman" w:cs="Times New Roman"/>
          <w:sz w:val="24"/>
          <w:szCs w:val="24"/>
        </w:rPr>
        <w:t xml:space="preserve"> 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 Para obtener más información, visite www.consumerfinance.gov/learnmore.</w:t>
      </w:r>
    </w:p>
    <w:p w14:paraId="32F93448" w14:textId="77777777" w:rsidR="007C54B1" w:rsidRPr="007C54B1" w:rsidRDefault="007C54B1" w:rsidP="007C54B1">
      <w:pPr>
        <w:spacing w:after="0" w:line="240" w:lineRule="auto"/>
        <w:rPr>
          <w:rFonts w:ascii="Times New Roman" w:hAnsi="Times New Roman" w:cs="Times New Roman"/>
          <w:sz w:val="24"/>
          <w:szCs w:val="24"/>
        </w:rPr>
      </w:pPr>
    </w:p>
    <w:p w14:paraId="1D576B26"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Usted puede limitar las ofertas "pre-evaluadas" de crédito y seguro que recibe y que están basadas en la información de su informe de crédito.</w:t>
      </w:r>
      <w:r w:rsidRPr="007C54B1">
        <w:rPr>
          <w:rFonts w:ascii="Times New Roman" w:hAnsi="Times New Roman" w:cs="Times New Roman"/>
          <w:sz w:val="24"/>
          <w:szCs w:val="24"/>
        </w:rPr>
        <w:t xml:space="preserve"> 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 (1-888-567-8688).</w:t>
      </w:r>
    </w:p>
    <w:p w14:paraId="3DB66519" w14:textId="77777777" w:rsidR="007C54B1" w:rsidRPr="007C54B1" w:rsidRDefault="007C54B1" w:rsidP="007C54B1">
      <w:pPr>
        <w:spacing w:after="0" w:line="240" w:lineRule="auto"/>
        <w:rPr>
          <w:rFonts w:ascii="Times New Roman" w:hAnsi="Times New Roman" w:cs="Times New Roman"/>
          <w:sz w:val="24"/>
          <w:szCs w:val="24"/>
        </w:rPr>
      </w:pPr>
    </w:p>
    <w:p w14:paraId="19515730" w14:textId="089CBCAD"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7C54B1">
        <w:rPr>
          <w:rFonts w:ascii="Times New Roman" w:hAnsi="Times New Roman" w:cs="Times New Roman"/>
          <w:sz w:val="24"/>
          <w:szCs w:val="24"/>
        </w:rPr>
        <w:t>El siguiente derecho, en virtud de la FCRA, se aplica a las agencias de informe de</w:t>
      </w:r>
      <w:r w:rsidR="00D63D32">
        <w:rPr>
          <w:rFonts w:ascii="Times New Roman" w:hAnsi="Times New Roman" w:cs="Times New Roman"/>
          <w:sz w:val="24"/>
          <w:szCs w:val="24"/>
        </w:rPr>
        <w:t>l</w:t>
      </w:r>
      <w:r w:rsidRPr="007C54B1">
        <w:rPr>
          <w:rFonts w:ascii="Times New Roman" w:hAnsi="Times New Roman" w:cs="Times New Roman"/>
          <w:sz w:val="24"/>
          <w:szCs w:val="24"/>
        </w:rPr>
        <w:t xml:space="preserve"> consumidor a nivel nacional:</w:t>
      </w:r>
    </w:p>
    <w:p w14:paraId="608A7D84" w14:textId="77777777" w:rsidR="007C54B1" w:rsidRPr="007C54B1" w:rsidRDefault="007C54B1" w:rsidP="007C54B1">
      <w:pPr>
        <w:spacing w:after="0" w:line="240" w:lineRule="auto"/>
        <w:rPr>
          <w:rFonts w:ascii="Times New Roman" w:hAnsi="Times New Roman" w:cs="Times New Roman"/>
          <w:sz w:val="24"/>
          <w:szCs w:val="24"/>
        </w:rPr>
      </w:pPr>
    </w:p>
    <w:p w14:paraId="3BFE09D2" w14:textId="77777777" w:rsidR="007C54B1" w:rsidRPr="00C747C1" w:rsidRDefault="007C54B1" w:rsidP="007C54B1">
      <w:pPr>
        <w:spacing w:after="0" w:line="240" w:lineRule="auto"/>
        <w:ind w:left="720"/>
        <w:rPr>
          <w:rStyle w:val="Strong"/>
        </w:rPr>
      </w:pPr>
      <w:r w:rsidRPr="00C747C1">
        <w:rPr>
          <w:rStyle w:val="Strong"/>
        </w:rPr>
        <w:t>LOS CONSUMIDORES TIENEN EL DERECHO A OBTENER UNA SUSPENSIÓN POR SEGURIDAD</w:t>
      </w:r>
    </w:p>
    <w:p w14:paraId="1BCB811A" w14:textId="77777777" w:rsidR="007C54B1" w:rsidRPr="00C747C1" w:rsidRDefault="007C54B1" w:rsidP="007C54B1">
      <w:pPr>
        <w:spacing w:after="0" w:line="240" w:lineRule="auto"/>
        <w:ind w:left="720"/>
        <w:rPr>
          <w:rStyle w:val="Strong"/>
        </w:rPr>
      </w:pPr>
      <w:r w:rsidRPr="00C747C1">
        <w:rPr>
          <w:rStyle w:val="Strong"/>
        </w:rPr>
        <w:t xml:space="preserve"> </w:t>
      </w:r>
    </w:p>
    <w:p w14:paraId="692484AE" w14:textId="4DE86BBD" w:rsidR="007C54B1" w:rsidRPr="007C54B1" w:rsidRDefault="007C54B1" w:rsidP="007C54B1">
      <w:pPr>
        <w:spacing w:after="0" w:line="240" w:lineRule="auto"/>
        <w:ind w:left="720"/>
        <w:rPr>
          <w:rFonts w:ascii="Times New Roman" w:hAnsi="Times New Roman" w:cs="Times New Roman"/>
          <w:sz w:val="24"/>
          <w:szCs w:val="24"/>
        </w:rPr>
      </w:pPr>
      <w:r w:rsidRPr="007C54B1">
        <w:rPr>
          <w:rFonts w:ascii="Times New Roman" w:hAnsi="Times New Roman" w:cs="Times New Roman"/>
          <w:sz w:val="24"/>
          <w:szCs w:val="24"/>
        </w:rPr>
        <w:t xml:space="preserve">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w:t>
      </w:r>
      <w:r w:rsidRPr="007C54B1">
        <w:rPr>
          <w:rFonts w:ascii="Times New Roman" w:hAnsi="Times New Roman" w:cs="Times New Roman"/>
          <w:sz w:val="24"/>
          <w:szCs w:val="24"/>
        </w:rPr>
        <w:lastRenderedPageBreak/>
        <w:t xml:space="preserve">bloquear la aprobación a tiempo de peticiones o solicitudes posteriores que usted haga con respecto a un nuevo préstamo, crédito, hipoteca o cualquier otra transacción para obtener un crédito.   </w:t>
      </w:r>
    </w:p>
    <w:p w14:paraId="3902F6EE" w14:textId="77777777" w:rsidR="007C54B1" w:rsidRPr="007C54B1" w:rsidRDefault="007C54B1" w:rsidP="007C54B1">
      <w:pPr>
        <w:spacing w:after="0" w:line="240" w:lineRule="auto"/>
        <w:ind w:left="720"/>
        <w:rPr>
          <w:rFonts w:ascii="Times New Roman" w:hAnsi="Times New Roman" w:cs="Times New Roman"/>
          <w:sz w:val="24"/>
          <w:szCs w:val="24"/>
        </w:rPr>
      </w:pPr>
      <w:r w:rsidRPr="007C54B1">
        <w:rPr>
          <w:rFonts w:ascii="Times New Roman" w:hAnsi="Times New Roman" w:cs="Times New Roman"/>
          <w:sz w:val="24"/>
          <w:szCs w:val="24"/>
        </w:rPr>
        <w:t xml:space="preserve"> </w:t>
      </w:r>
    </w:p>
    <w:p w14:paraId="41C7DBA2" w14:textId="2F8D82DA" w:rsidR="007C54B1" w:rsidRPr="007C54B1" w:rsidRDefault="007C54B1" w:rsidP="007C54B1">
      <w:pPr>
        <w:spacing w:after="0" w:line="240" w:lineRule="auto"/>
        <w:ind w:left="720"/>
        <w:rPr>
          <w:rFonts w:ascii="Times New Roman" w:hAnsi="Times New Roman" w:cs="Times New Roman"/>
          <w:sz w:val="24"/>
          <w:szCs w:val="24"/>
        </w:rPr>
      </w:pPr>
      <w:r w:rsidRPr="007C54B1">
        <w:rPr>
          <w:rFonts w:ascii="Times New Roman" w:hAnsi="Times New Roman" w:cs="Times New Roman"/>
          <w:sz w:val="24"/>
          <w:szCs w:val="24"/>
        </w:rPr>
        <w:t xml:space="preserve">Como alternativa a un congelamiento de seguridad, usted tiene derecho a colocar una alerta de fraude inicial o </w:t>
      </w:r>
      <w:r w:rsidR="00D63D32">
        <w:rPr>
          <w:rFonts w:ascii="Times New Roman" w:hAnsi="Times New Roman" w:cs="Times New Roman"/>
          <w:sz w:val="24"/>
          <w:szCs w:val="24"/>
        </w:rPr>
        <w:t>extendid</w:t>
      </w:r>
      <w:r w:rsidR="00D63D32" w:rsidRPr="007C54B1">
        <w:rPr>
          <w:rFonts w:ascii="Times New Roman" w:hAnsi="Times New Roman" w:cs="Times New Roman"/>
          <w:sz w:val="24"/>
          <w:szCs w:val="24"/>
        </w:rPr>
        <w:t>a</w:t>
      </w:r>
      <w:r w:rsidRPr="007C54B1">
        <w:rPr>
          <w:rFonts w:ascii="Times New Roman" w:hAnsi="Times New Roman" w:cs="Times New Roman"/>
          <w:sz w:val="24"/>
          <w:szCs w:val="24"/>
        </w:rPr>
        <w:t xml:space="preserve">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w:t>
      </w:r>
      <w:r w:rsidR="00D63D32">
        <w:rPr>
          <w:rFonts w:ascii="Times New Roman" w:hAnsi="Times New Roman" w:cs="Times New Roman"/>
          <w:sz w:val="24"/>
          <w:szCs w:val="24"/>
        </w:rPr>
        <w:t>extendid</w:t>
      </w:r>
      <w:r w:rsidR="00D63D32" w:rsidRPr="007C54B1">
        <w:rPr>
          <w:rFonts w:ascii="Times New Roman" w:hAnsi="Times New Roman" w:cs="Times New Roman"/>
          <w:sz w:val="24"/>
          <w:szCs w:val="24"/>
        </w:rPr>
        <w:t>a</w:t>
      </w:r>
      <w:r w:rsidRPr="007C54B1">
        <w:rPr>
          <w:rFonts w:ascii="Times New Roman" w:hAnsi="Times New Roman" w:cs="Times New Roman"/>
          <w:sz w:val="24"/>
          <w:szCs w:val="24"/>
        </w:rPr>
        <w:t>, que es un aviso de fraude que dura 7 años.</w:t>
      </w:r>
    </w:p>
    <w:p w14:paraId="2B41A128" w14:textId="77777777" w:rsidR="007C54B1" w:rsidRPr="007C54B1" w:rsidRDefault="007C54B1" w:rsidP="007C54B1">
      <w:pPr>
        <w:spacing w:after="0" w:line="240" w:lineRule="auto"/>
        <w:ind w:left="720"/>
        <w:rPr>
          <w:rFonts w:ascii="Times New Roman" w:hAnsi="Times New Roman" w:cs="Times New Roman"/>
          <w:sz w:val="24"/>
          <w:szCs w:val="24"/>
        </w:rPr>
      </w:pPr>
      <w:r w:rsidRPr="007C54B1">
        <w:rPr>
          <w:rFonts w:ascii="Times New Roman" w:hAnsi="Times New Roman" w:cs="Times New Roman"/>
          <w:sz w:val="24"/>
          <w:szCs w:val="24"/>
        </w:rPr>
        <w:t xml:space="preserve"> </w:t>
      </w:r>
    </w:p>
    <w:p w14:paraId="0FD04411" w14:textId="77777777" w:rsidR="007C54B1" w:rsidRPr="007C54B1" w:rsidRDefault="007C54B1" w:rsidP="007C54B1">
      <w:pPr>
        <w:spacing w:after="0" w:line="240" w:lineRule="auto"/>
        <w:ind w:left="720"/>
        <w:rPr>
          <w:rFonts w:ascii="Times New Roman" w:hAnsi="Times New Roman" w:cs="Times New Roman"/>
          <w:sz w:val="24"/>
          <w:szCs w:val="24"/>
        </w:rPr>
      </w:pPr>
      <w:r w:rsidRPr="007C54B1">
        <w:rPr>
          <w:rFonts w:ascii="Times New Roman" w:hAnsi="Times New Roman" w:cs="Times New Roman"/>
          <w:sz w:val="24"/>
          <w:szCs w:val="24"/>
        </w:rPr>
        <w:t xml:space="preserve">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 </w:t>
      </w:r>
    </w:p>
    <w:p w14:paraId="43CFED0F" w14:textId="77777777" w:rsidR="007C54B1" w:rsidRPr="007C54B1" w:rsidRDefault="007C54B1" w:rsidP="007C54B1">
      <w:pPr>
        <w:spacing w:after="0" w:line="240" w:lineRule="auto"/>
        <w:rPr>
          <w:rFonts w:ascii="Times New Roman" w:hAnsi="Times New Roman" w:cs="Times New Roman"/>
          <w:sz w:val="24"/>
          <w:szCs w:val="24"/>
        </w:rPr>
      </w:pPr>
    </w:p>
    <w:p w14:paraId="1AC62AB9"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C747C1">
        <w:rPr>
          <w:rStyle w:val="Strong"/>
        </w:rPr>
        <w:t>Usted puede obtener compensación de los infractores.</w:t>
      </w:r>
      <w:r w:rsidRPr="007C54B1">
        <w:rPr>
          <w:rFonts w:ascii="Times New Roman" w:hAnsi="Times New Roman" w:cs="Times New Roman"/>
          <w:sz w:val="24"/>
          <w:szCs w:val="24"/>
        </w:rPr>
        <w:t xml:space="preserve"> Si una agencia de informe del consumidor o, en algunos casos, un usuario de informe del consumidor, o un proveedor de información de una agencia de informe del consumidor infringe la FCRA, usted puede demandarlo ante una corte estatal o federal.</w:t>
      </w:r>
    </w:p>
    <w:p w14:paraId="3F61BF9E" w14:textId="77777777" w:rsidR="007C54B1" w:rsidRPr="007C54B1" w:rsidRDefault="007C54B1" w:rsidP="007C54B1">
      <w:pPr>
        <w:spacing w:after="0" w:line="240" w:lineRule="auto"/>
        <w:rPr>
          <w:rFonts w:ascii="Times New Roman" w:hAnsi="Times New Roman" w:cs="Times New Roman"/>
          <w:sz w:val="24"/>
          <w:szCs w:val="24"/>
        </w:rPr>
      </w:pPr>
    </w:p>
    <w:p w14:paraId="2400E405" w14:textId="77777777" w:rsidR="007C54B1" w:rsidRPr="007C54B1" w:rsidRDefault="007C54B1" w:rsidP="007C54B1">
      <w:pPr>
        <w:pStyle w:val="ListParagraph"/>
        <w:numPr>
          <w:ilvl w:val="0"/>
          <w:numId w:val="3"/>
        </w:numPr>
        <w:spacing w:after="0" w:line="240" w:lineRule="auto"/>
        <w:rPr>
          <w:rFonts w:ascii="Times New Roman" w:hAnsi="Times New Roman" w:cs="Times New Roman"/>
          <w:sz w:val="24"/>
          <w:szCs w:val="24"/>
        </w:rPr>
      </w:pPr>
      <w:r w:rsidRPr="00642A8A">
        <w:rPr>
          <w:rStyle w:val="Strong"/>
        </w:rPr>
        <w:t>Las víctimas del robo de identidad y el personal militar en servicio activo tienen derechos adicionales.</w:t>
      </w:r>
      <w:r w:rsidRPr="007C54B1">
        <w:rPr>
          <w:rFonts w:ascii="Times New Roman" w:hAnsi="Times New Roman" w:cs="Times New Roman"/>
          <w:sz w:val="24"/>
          <w:szCs w:val="24"/>
        </w:rPr>
        <w:t xml:space="preserve"> Para obtener más información, visite www.consumerfinance.gov/learnmore.</w:t>
      </w:r>
    </w:p>
    <w:p w14:paraId="51386291" w14:textId="77777777" w:rsidR="007C54B1" w:rsidRPr="007C54B1" w:rsidRDefault="007C54B1" w:rsidP="007C54B1">
      <w:pPr>
        <w:spacing w:after="0" w:line="240" w:lineRule="auto"/>
        <w:rPr>
          <w:rFonts w:ascii="Times New Roman" w:hAnsi="Times New Roman" w:cs="Times New Roman"/>
          <w:sz w:val="24"/>
          <w:szCs w:val="24"/>
        </w:rPr>
      </w:pPr>
    </w:p>
    <w:p w14:paraId="7B2A2AD7" w14:textId="77777777" w:rsidR="00FB023D" w:rsidRDefault="007C54B1" w:rsidP="007C54B1">
      <w:pPr>
        <w:spacing w:after="0" w:line="240" w:lineRule="auto"/>
        <w:jc w:val="center"/>
        <w:rPr>
          <w:rFonts w:ascii="Times New Roman" w:hAnsi="Times New Roman" w:cs="Times New Roman"/>
          <w:b/>
          <w:bCs/>
          <w:sz w:val="24"/>
          <w:szCs w:val="24"/>
        </w:rPr>
      </w:pPr>
      <w:r w:rsidRPr="007C54B1">
        <w:rPr>
          <w:rFonts w:ascii="Times New Roman" w:hAnsi="Times New Roman" w:cs="Times New Roman"/>
          <w:b/>
          <w:bCs/>
          <w:sz w:val="24"/>
          <w:szCs w:val="24"/>
        </w:rPr>
        <w:t>Los estados tienen autoridad para hacer cumplir la FCRA, y muchos estados tienen su propia legislación sobre los informes de los consumidores. En algunos casos, usted puede</w:t>
      </w:r>
      <w:r w:rsidR="00D02C8C">
        <w:rPr>
          <w:rFonts w:ascii="Times New Roman" w:hAnsi="Times New Roman" w:cs="Times New Roman"/>
          <w:b/>
          <w:bCs/>
          <w:sz w:val="24"/>
          <w:szCs w:val="24"/>
        </w:rPr>
        <w:t xml:space="preserve"> </w:t>
      </w:r>
      <w:r w:rsidRPr="007C54B1">
        <w:rPr>
          <w:rFonts w:ascii="Times New Roman" w:hAnsi="Times New Roman" w:cs="Times New Roman"/>
          <w:b/>
          <w:bCs/>
          <w:sz w:val="24"/>
          <w:szCs w:val="24"/>
        </w:rPr>
        <w:t>tener más derechos en virtud de la ley estatal. Para obtener más información, comuníquese con su agencia estatal o local de protección del consumidor o con el Fiscal General estatal. Para obtener información sobre sus derechos federales, establezca contacto con:</w:t>
      </w:r>
    </w:p>
    <w:p w14:paraId="1BBA75F7" w14:textId="77777777" w:rsidR="007C54B1" w:rsidRDefault="007C54B1" w:rsidP="007C54B1">
      <w:pPr>
        <w:spacing w:after="0" w:line="240" w:lineRule="auto"/>
        <w:jc w:val="center"/>
        <w:rPr>
          <w:rFonts w:ascii="Times New Roman" w:hAnsi="Times New Roman" w:cs="Times New Roman"/>
          <w:b/>
          <w:bCs/>
          <w:sz w:val="24"/>
          <w:szCs w:val="24"/>
        </w:rPr>
      </w:pPr>
    </w:p>
    <w:tbl>
      <w:tblPr>
        <w:tblW w:w="10988"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7C54B1" w:rsidRPr="007C54B1" w14:paraId="42789546" w14:textId="77777777" w:rsidTr="007C54B1">
        <w:trPr>
          <w:trHeight w:val="275"/>
        </w:trPr>
        <w:tc>
          <w:tcPr>
            <w:tcW w:w="5386" w:type="dxa"/>
          </w:tcPr>
          <w:p w14:paraId="5B4C41F2" w14:textId="77777777" w:rsidR="007C54B1" w:rsidRPr="007C54B1" w:rsidRDefault="007C54B1" w:rsidP="007C54B1">
            <w:pPr>
              <w:widowControl w:val="0"/>
              <w:autoSpaceDE w:val="0"/>
              <w:autoSpaceDN w:val="0"/>
              <w:spacing w:after="0" w:line="240" w:lineRule="auto"/>
              <w:jc w:val="center"/>
              <w:rPr>
                <w:rFonts w:ascii="Times New Roman" w:eastAsia="Times New Roman" w:hAnsi="Times New Roman" w:cs="Times New Roman"/>
                <w:b/>
                <w:bCs/>
                <w:sz w:val="28"/>
                <w:lang w:bidi="ar-SA"/>
              </w:rPr>
            </w:pPr>
            <w:r w:rsidRPr="007C54B1">
              <w:rPr>
                <w:rFonts w:ascii="Times New Roman" w:eastAsia="Times New Roman" w:hAnsi="Times New Roman" w:cs="Times New Roman"/>
                <w:b/>
                <w:bCs/>
                <w:sz w:val="28"/>
                <w:lang w:bidi="ar-SA"/>
              </w:rPr>
              <w:t>TIPO DE NEGOCIO:</w:t>
            </w:r>
          </w:p>
        </w:tc>
        <w:tc>
          <w:tcPr>
            <w:tcW w:w="5602" w:type="dxa"/>
          </w:tcPr>
          <w:p w14:paraId="178ACA1E" w14:textId="77777777" w:rsidR="007C54B1" w:rsidRPr="007C54B1" w:rsidRDefault="007C54B1" w:rsidP="007C54B1">
            <w:pPr>
              <w:widowControl w:val="0"/>
              <w:autoSpaceDE w:val="0"/>
              <w:autoSpaceDN w:val="0"/>
              <w:spacing w:after="0" w:line="240" w:lineRule="auto"/>
              <w:jc w:val="center"/>
              <w:rPr>
                <w:rFonts w:ascii="Times New Roman" w:eastAsia="Times New Roman" w:hAnsi="Times New Roman" w:cs="Times New Roman"/>
                <w:b/>
                <w:bCs/>
                <w:sz w:val="28"/>
                <w:lang w:bidi="ar-SA"/>
              </w:rPr>
            </w:pPr>
            <w:r w:rsidRPr="007C54B1">
              <w:rPr>
                <w:rFonts w:ascii="Times New Roman" w:eastAsia="Times New Roman" w:hAnsi="Times New Roman" w:cs="Times New Roman"/>
                <w:b/>
                <w:bCs/>
                <w:sz w:val="28"/>
                <w:lang w:bidi="ar-SA"/>
              </w:rPr>
              <w:t>ESTABLEZCA CONTACTO CON:</w:t>
            </w:r>
          </w:p>
        </w:tc>
      </w:tr>
      <w:tr w:rsidR="007C54B1" w:rsidRPr="007C54B1" w14:paraId="64FD97AC" w14:textId="77777777" w:rsidTr="007C54B1">
        <w:trPr>
          <w:trHeight w:val="2118"/>
        </w:trPr>
        <w:tc>
          <w:tcPr>
            <w:tcW w:w="5386" w:type="dxa"/>
          </w:tcPr>
          <w:p w14:paraId="270376FF"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1.a. Bancos, asociaciones de ahorro y cooperativas de crédito con activos totales de más de $10 mil millones de dólares y sus filiales</w:t>
            </w:r>
          </w:p>
          <w:p w14:paraId="4AF8E2F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4926E3E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b. Dichas filiales que no sean bancos, asociaciones de ahorro o cooperativas de crédito también deben listar, además del CFPB:</w:t>
            </w:r>
          </w:p>
        </w:tc>
        <w:tc>
          <w:tcPr>
            <w:tcW w:w="5602" w:type="dxa"/>
          </w:tcPr>
          <w:p w14:paraId="7402297F"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a. Consumer Financial Protection Bureau </w:t>
            </w:r>
          </w:p>
          <w:p w14:paraId="11FEF4C3"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1700 G Street, N.W.</w:t>
            </w:r>
          </w:p>
          <w:p w14:paraId="7D00879F"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20552</w:t>
            </w:r>
          </w:p>
          <w:p w14:paraId="185FD41A"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2F58AE4E"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b. Federal Trade Commission</w:t>
            </w:r>
          </w:p>
          <w:p w14:paraId="7823BD6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Consumer Response Center</w:t>
            </w:r>
          </w:p>
          <w:p w14:paraId="0E25F4CF"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600 Pennsylvania Avenue, N.W.</w:t>
            </w:r>
          </w:p>
          <w:p w14:paraId="612D5B53"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20580</w:t>
            </w:r>
          </w:p>
          <w:p w14:paraId="24156CD9"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(877) 382-4357</w:t>
            </w:r>
          </w:p>
        </w:tc>
      </w:tr>
      <w:tr w:rsidR="007C54B1" w:rsidRPr="007C54B1" w14:paraId="16EC6354" w14:textId="77777777" w:rsidTr="007C54B1">
        <w:trPr>
          <w:trHeight w:val="5294"/>
        </w:trPr>
        <w:tc>
          <w:tcPr>
            <w:tcW w:w="5386" w:type="dxa"/>
          </w:tcPr>
          <w:p w14:paraId="6FB08F54"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lastRenderedPageBreak/>
              <w:t>2. En la medida en que no estén comprendidos en el punto 1 anterior:</w:t>
            </w:r>
          </w:p>
          <w:p w14:paraId="63776E4B"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77CF18EC"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a. Bancos nacionales, asociaciones de ahorro federales y sucursales federales y agencias federales de bancos extranjeros</w:t>
            </w:r>
          </w:p>
          <w:p w14:paraId="5EFC023B"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04EE6BE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b. 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 Act)</w:t>
            </w:r>
          </w:p>
          <w:p w14:paraId="49AD2D11"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13A6C3F7"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c. Bancos Asegurados No Miembros, Sucursales Estatales Aseguradas de Bancos Extranjeros y asociaciones de ahorros estatales aseguradas</w:t>
            </w:r>
          </w:p>
          <w:p w14:paraId="7FB8859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64E9C7CC"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d. Cooperativas Federales de Crédito</w:t>
            </w:r>
          </w:p>
        </w:tc>
        <w:tc>
          <w:tcPr>
            <w:tcW w:w="5602" w:type="dxa"/>
          </w:tcPr>
          <w:p w14:paraId="77A2C422"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3A4B433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a. Office of the Comptroller of the Currency </w:t>
            </w:r>
          </w:p>
          <w:p w14:paraId="745D6592"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Customer Assistance Group</w:t>
            </w:r>
          </w:p>
          <w:p w14:paraId="3E0E89C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1301 McKinney Street, Suite 3450</w:t>
            </w:r>
          </w:p>
          <w:p w14:paraId="4EC854F5"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Houston, TX 77010-9050</w:t>
            </w:r>
          </w:p>
          <w:p w14:paraId="767027A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47ADF3AE"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b. Federal Reserve Consumer Help Center</w:t>
            </w:r>
          </w:p>
          <w:p w14:paraId="776A3519"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P.O. Box. 1200 </w:t>
            </w:r>
          </w:p>
          <w:p w14:paraId="4083E69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Minneapolis, MN 55480</w:t>
            </w:r>
          </w:p>
          <w:p w14:paraId="1F31CE8D"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54CDCAB1"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75E5CF79"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0C5559BC"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41602FAD"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2211EA6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c. FDIC Consumer Response Center </w:t>
            </w:r>
          </w:p>
          <w:p w14:paraId="245A09C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1100 Walnut Street, Box #11 </w:t>
            </w:r>
          </w:p>
          <w:p w14:paraId="2D35A5AE"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Kansas City, MO 64106</w:t>
            </w:r>
          </w:p>
          <w:p w14:paraId="7E21D94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p>
          <w:p w14:paraId="739872AB"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d. National Credit Union Administration Office of Consumer Financial Protection (OCFP)</w:t>
            </w:r>
          </w:p>
          <w:p w14:paraId="3A74053B"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Division of Consumer Compliance Policy and Outreach</w:t>
            </w:r>
          </w:p>
          <w:p w14:paraId="0FF96CB2"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1775 Duke Street</w:t>
            </w:r>
          </w:p>
          <w:p w14:paraId="6ECBAE5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Alexandria, VA 22314</w:t>
            </w:r>
          </w:p>
        </w:tc>
      </w:tr>
      <w:tr w:rsidR="007C54B1" w:rsidRPr="007C54B1" w14:paraId="27A017F7" w14:textId="77777777" w:rsidTr="007C54B1">
        <w:trPr>
          <w:trHeight w:val="1154"/>
        </w:trPr>
        <w:tc>
          <w:tcPr>
            <w:tcW w:w="5386" w:type="dxa"/>
          </w:tcPr>
          <w:p w14:paraId="05AB3CA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3. Compañías aéreas</w:t>
            </w:r>
          </w:p>
        </w:tc>
        <w:tc>
          <w:tcPr>
            <w:tcW w:w="5602" w:type="dxa"/>
          </w:tcPr>
          <w:p w14:paraId="15426973"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Asst. General Counsel for Aviation Enforcement &amp; Proceedings</w:t>
            </w:r>
          </w:p>
          <w:p w14:paraId="2FD41CA5"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Aviation Consumer Protection Division </w:t>
            </w:r>
          </w:p>
          <w:p w14:paraId="775BC4CC"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Department of Transportation</w:t>
            </w:r>
          </w:p>
          <w:p w14:paraId="1699C4AB"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1200 New Jersey Avenue, S.E. </w:t>
            </w:r>
          </w:p>
          <w:p w14:paraId="241A7FA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20590</w:t>
            </w:r>
          </w:p>
        </w:tc>
      </w:tr>
      <w:tr w:rsidR="007C54B1" w:rsidRPr="007C54B1" w14:paraId="38F7EA1C" w14:textId="77777777" w:rsidTr="007C54B1">
        <w:trPr>
          <w:trHeight w:val="974"/>
        </w:trPr>
        <w:tc>
          <w:tcPr>
            <w:tcW w:w="5386" w:type="dxa"/>
          </w:tcPr>
          <w:p w14:paraId="43C4209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4. Acreedores sujetos a la Junta de Transporte Terrestre (Surface Transportation Board)</w:t>
            </w:r>
          </w:p>
        </w:tc>
        <w:tc>
          <w:tcPr>
            <w:tcW w:w="5602" w:type="dxa"/>
          </w:tcPr>
          <w:p w14:paraId="5623341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Office of Proceedings, Surface Transportation Board</w:t>
            </w:r>
          </w:p>
          <w:p w14:paraId="1F92647F"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Department of Transportation </w:t>
            </w:r>
          </w:p>
          <w:p w14:paraId="4E262591"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395 E Street, S.W. </w:t>
            </w:r>
          </w:p>
          <w:p w14:paraId="287C05D1"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20423</w:t>
            </w:r>
          </w:p>
        </w:tc>
      </w:tr>
      <w:tr w:rsidR="007C54B1" w:rsidRPr="007C54B1" w14:paraId="00D048F2" w14:textId="77777777" w:rsidTr="007C54B1">
        <w:trPr>
          <w:trHeight w:val="533"/>
        </w:trPr>
        <w:tc>
          <w:tcPr>
            <w:tcW w:w="5386" w:type="dxa"/>
          </w:tcPr>
          <w:p w14:paraId="19DCFD14"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5. Acreedores sujetos a la Ley de Empacadores y Corrales Ganaderos de 1921 (Packers and Stockyards Act, 1921)</w:t>
            </w:r>
          </w:p>
        </w:tc>
        <w:tc>
          <w:tcPr>
            <w:tcW w:w="5602" w:type="dxa"/>
          </w:tcPr>
          <w:p w14:paraId="4DE5B7FD" w14:textId="62307002" w:rsidR="007C54B1" w:rsidRPr="007C54B1" w:rsidRDefault="00DA05E3" w:rsidP="00DA05E3">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DA05E3">
              <w:rPr>
                <w:rFonts w:ascii="Times New Roman" w:eastAsia="Times New Roman" w:hAnsi="Times New Roman" w:cs="Times New Roman"/>
                <w:sz w:val="20"/>
                <w:szCs w:val="20"/>
                <w:lang w:bidi="ar-SA"/>
              </w:rPr>
              <w:t>Supervisor de la oficina más cercana de la Packers and Stockyards Administration</w:t>
            </w:r>
          </w:p>
        </w:tc>
      </w:tr>
      <w:tr w:rsidR="007C54B1" w:rsidRPr="007C54B1" w14:paraId="68872D06" w14:textId="77777777" w:rsidTr="007C54B1">
        <w:trPr>
          <w:trHeight w:val="974"/>
        </w:trPr>
        <w:tc>
          <w:tcPr>
            <w:tcW w:w="5386" w:type="dxa"/>
          </w:tcPr>
          <w:p w14:paraId="518B0BD5"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6. Compañías de Inversión en Pequeños Negocios</w:t>
            </w:r>
          </w:p>
        </w:tc>
        <w:tc>
          <w:tcPr>
            <w:tcW w:w="5602" w:type="dxa"/>
          </w:tcPr>
          <w:p w14:paraId="5E51D2C1"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Associate Deputy Administrator for Capital Access </w:t>
            </w:r>
          </w:p>
          <w:p w14:paraId="040F1C65"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United States Small Business Administration</w:t>
            </w:r>
          </w:p>
          <w:p w14:paraId="52C0FFD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409 Third Street, S.W., Suite 8200</w:t>
            </w:r>
          </w:p>
          <w:p w14:paraId="5123E14D"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20416</w:t>
            </w:r>
          </w:p>
        </w:tc>
      </w:tr>
      <w:tr w:rsidR="007C54B1" w:rsidRPr="007C54B1" w14:paraId="150D8F31" w14:textId="77777777" w:rsidTr="007C54B1">
        <w:trPr>
          <w:trHeight w:val="704"/>
        </w:trPr>
        <w:tc>
          <w:tcPr>
            <w:tcW w:w="5386" w:type="dxa"/>
          </w:tcPr>
          <w:p w14:paraId="24D7282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7. Agentes y Distribuidores</w:t>
            </w:r>
          </w:p>
        </w:tc>
        <w:tc>
          <w:tcPr>
            <w:tcW w:w="5602" w:type="dxa"/>
          </w:tcPr>
          <w:p w14:paraId="6D2C4C5D"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Securities and Exchange Commission </w:t>
            </w:r>
          </w:p>
          <w:p w14:paraId="577A70B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100 F Street, N.E.</w:t>
            </w:r>
          </w:p>
          <w:p w14:paraId="0F42E9BC"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20549</w:t>
            </w:r>
          </w:p>
        </w:tc>
      </w:tr>
      <w:tr w:rsidR="007C54B1" w:rsidRPr="007C54B1" w14:paraId="1C7B9C4F" w14:textId="77777777" w:rsidTr="007C54B1">
        <w:trPr>
          <w:trHeight w:val="704"/>
        </w:trPr>
        <w:tc>
          <w:tcPr>
            <w:tcW w:w="5386" w:type="dxa"/>
          </w:tcPr>
          <w:p w14:paraId="443AFFA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8. Bancos Agrícolas Federales, Asociaciones de Bancos Agrícolas Federales, Bancos Federales de Crédito Intermedio y Asociaciones de Crédito a la Producción</w:t>
            </w:r>
          </w:p>
        </w:tc>
        <w:tc>
          <w:tcPr>
            <w:tcW w:w="5602" w:type="dxa"/>
          </w:tcPr>
          <w:p w14:paraId="266D7924"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Farm Credit Administration </w:t>
            </w:r>
          </w:p>
          <w:p w14:paraId="50CD0FA7"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 xml:space="preserve">1501 Farm Credit Drive </w:t>
            </w:r>
          </w:p>
          <w:p w14:paraId="65DE4EA2"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McLean, VA 22102-5090</w:t>
            </w:r>
          </w:p>
        </w:tc>
      </w:tr>
      <w:tr w:rsidR="007C54B1" w:rsidRPr="007C54B1" w14:paraId="1A350A37" w14:textId="77777777" w:rsidTr="007C54B1">
        <w:trPr>
          <w:trHeight w:val="1154"/>
        </w:trPr>
        <w:tc>
          <w:tcPr>
            <w:tcW w:w="5386" w:type="dxa"/>
          </w:tcPr>
          <w:p w14:paraId="4D28350D"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9. Minoristas, Compañías Financieras y todos los demás acreedores no indicados anteriormente</w:t>
            </w:r>
          </w:p>
        </w:tc>
        <w:tc>
          <w:tcPr>
            <w:tcW w:w="5602" w:type="dxa"/>
          </w:tcPr>
          <w:p w14:paraId="1A880FF6"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Federal Trade Commission</w:t>
            </w:r>
          </w:p>
          <w:p w14:paraId="70D91AD8"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Consumer Response Center</w:t>
            </w:r>
          </w:p>
          <w:p w14:paraId="53E7BF7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600 Pennsylvania Avenue, N.W.</w:t>
            </w:r>
          </w:p>
          <w:p w14:paraId="7CA805F9"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Washington, DC 20580</w:t>
            </w:r>
          </w:p>
          <w:p w14:paraId="54FA1CF0" w14:textId="77777777" w:rsidR="007C54B1" w:rsidRPr="007C54B1" w:rsidRDefault="007C54B1" w:rsidP="007C54B1">
            <w:pPr>
              <w:widowControl w:val="0"/>
              <w:autoSpaceDE w:val="0"/>
              <w:autoSpaceDN w:val="0"/>
              <w:spacing w:after="0" w:line="240" w:lineRule="auto"/>
              <w:ind w:left="144"/>
              <w:rPr>
                <w:rFonts w:ascii="Times New Roman" w:eastAsia="Times New Roman" w:hAnsi="Times New Roman" w:cs="Times New Roman"/>
                <w:sz w:val="20"/>
                <w:szCs w:val="20"/>
                <w:lang w:bidi="ar-SA"/>
              </w:rPr>
            </w:pPr>
            <w:r w:rsidRPr="007C54B1">
              <w:rPr>
                <w:rFonts w:ascii="Times New Roman" w:eastAsia="Times New Roman" w:hAnsi="Times New Roman" w:cs="Times New Roman"/>
                <w:sz w:val="20"/>
                <w:szCs w:val="20"/>
                <w:lang w:bidi="ar-SA"/>
              </w:rPr>
              <w:t>(877) 382-4357</w:t>
            </w:r>
          </w:p>
        </w:tc>
      </w:tr>
    </w:tbl>
    <w:p w14:paraId="7FD5B073" w14:textId="77777777" w:rsidR="007C54B1" w:rsidRPr="007C54B1" w:rsidRDefault="007C54B1" w:rsidP="007C54B1">
      <w:pPr>
        <w:spacing w:after="0" w:line="240" w:lineRule="auto"/>
        <w:rPr>
          <w:rFonts w:ascii="Times New Roman" w:hAnsi="Times New Roman" w:cs="Times New Roman"/>
          <w:sz w:val="24"/>
          <w:szCs w:val="24"/>
        </w:rPr>
      </w:pPr>
    </w:p>
    <w:sectPr w:rsidR="007C54B1" w:rsidRPr="007C54B1" w:rsidSect="007C54B1">
      <w:footerReference w:type="default" r:id="rId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62B9" w14:textId="77777777" w:rsidR="0005131B" w:rsidRDefault="0005131B" w:rsidP="007C54B1">
      <w:pPr>
        <w:spacing w:after="0" w:line="240" w:lineRule="auto"/>
      </w:pPr>
      <w:r>
        <w:separator/>
      </w:r>
    </w:p>
  </w:endnote>
  <w:endnote w:type="continuationSeparator" w:id="0">
    <w:p w14:paraId="2F85957F" w14:textId="77777777" w:rsidR="0005131B" w:rsidRDefault="0005131B" w:rsidP="007C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288221"/>
      <w:docPartObj>
        <w:docPartGallery w:val="Page Numbers (Bottom of Page)"/>
        <w:docPartUnique/>
      </w:docPartObj>
    </w:sdtPr>
    <w:sdtEndPr>
      <w:rPr>
        <w:rFonts w:ascii="Times New Roman" w:hAnsi="Times New Roman" w:cs="Times New Roman"/>
        <w:noProof/>
        <w:szCs w:val="22"/>
      </w:rPr>
    </w:sdtEndPr>
    <w:sdtContent>
      <w:p w14:paraId="42D672DD" w14:textId="40CF7A7B" w:rsidR="007C54B1" w:rsidRPr="007C54B1" w:rsidRDefault="007C54B1" w:rsidP="007C54B1">
        <w:pPr>
          <w:pStyle w:val="Footer"/>
          <w:jc w:val="right"/>
          <w:rPr>
            <w:rFonts w:ascii="Times New Roman" w:hAnsi="Times New Roman" w:cs="Times New Roman"/>
            <w:szCs w:val="22"/>
          </w:rPr>
        </w:pPr>
        <w:r w:rsidRPr="007C54B1">
          <w:rPr>
            <w:rFonts w:ascii="Times New Roman" w:hAnsi="Times New Roman" w:cs="Times New Roman"/>
            <w:szCs w:val="22"/>
          </w:rPr>
          <w:fldChar w:fldCharType="begin"/>
        </w:r>
        <w:r w:rsidRPr="007C54B1">
          <w:rPr>
            <w:rFonts w:ascii="Times New Roman" w:hAnsi="Times New Roman" w:cs="Times New Roman"/>
            <w:szCs w:val="22"/>
          </w:rPr>
          <w:instrText xml:space="preserve"> PAGE   \* MERGEFORMAT </w:instrText>
        </w:r>
        <w:r w:rsidRPr="007C54B1">
          <w:rPr>
            <w:rFonts w:ascii="Times New Roman" w:hAnsi="Times New Roman" w:cs="Times New Roman"/>
            <w:szCs w:val="22"/>
          </w:rPr>
          <w:fldChar w:fldCharType="separate"/>
        </w:r>
        <w:r w:rsidR="0003447C">
          <w:rPr>
            <w:rFonts w:ascii="Times New Roman" w:hAnsi="Times New Roman" w:cs="Times New Roman"/>
            <w:noProof/>
            <w:szCs w:val="22"/>
          </w:rPr>
          <w:t>1</w:t>
        </w:r>
        <w:r w:rsidRPr="007C54B1">
          <w:rPr>
            <w:rFonts w:ascii="Times New Roman" w:hAnsi="Times New Roman" w:cs="Times New Roman"/>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0236" w14:textId="77777777" w:rsidR="0005131B" w:rsidRDefault="0005131B" w:rsidP="007C54B1">
      <w:pPr>
        <w:spacing w:after="0" w:line="240" w:lineRule="auto"/>
      </w:pPr>
      <w:r>
        <w:separator/>
      </w:r>
    </w:p>
  </w:footnote>
  <w:footnote w:type="continuationSeparator" w:id="0">
    <w:p w14:paraId="79D73BE8" w14:textId="77777777" w:rsidR="0005131B" w:rsidRDefault="0005131B" w:rsidP="007C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13A0E"/>
    <w:multiLevelType w:val="hybridMultilevel"/>
    <w:tmpl w:val="B3CC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41773"/>
    <w:multiLevelType w:val="hybridMultilevel"/>
    <w:tmpl w:val="A6E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64FD2"/>
    <w:multiLevelType w:val="hybridMultilevel"/>
    <w:tmpl w:val="CC30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B1"/>
    <w:rsid w:val="0003447C"/>
    <w:rsid w:val="0005131B"/>
    <w:rsid w:val="0012341A"/>
    <w:rsid w:val="001939A5"/>
    <w:rsid w:val="00304BB1"/>
    <w:rsid w:val="00313F90"/>
    <w:rsid w:val="00357A55"/>
    <w:rsid w:val="00405230"/>
    <w:rsid w:val="0041464C"/>
    <w:rsid w:val="00493A49"/>
    <w:rsid w:val="00524851"/>
    <w:rsid w:val="0061622F"/>
    <w:rsid w:val="00642A8A"/>
    <w:rsid w:val="006C3828"/>
    <w:rsid w:val="006E0852"/>
    <w:rsid w:val="006F0954"/>
    <w:rsid w:val="007C54B1"/>
    <w:rsid w:val="007D423D"/>
    <w:rsid w:val="007E13C1"/>
    <w:rsid w:val="00952FB7"/>
    <w:rsid w:val="00AE39BA"/>
    <w:rsid w:val="00C06BBC"/>
    <w:rsid w:val="00C747C1"/>
    <w:rsid w:val="00C77ABC"/>
    <w:rsid w:val="00D02C8C"/>
    <w:rsid w:val="00D63D32"/>
    <w:rsid w:val="00DA05E3"/>
    <w:rsid w:val="00E14451"/>
    <w:rsid w:val="00FB023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2639"/>
  <w15:docId w15:val="{F1196F6F-CD5F-45EA-95D7-C893B99A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4B1"/>
    <w:rPr>
      <w:color w:val="0000FF" w:themeColor="hyperlink"/>
      <w:u w:val="single"/>
    </w:rPr>
  </w:style>
  <w:style w:type="paragraph" w:styleId="ListParagraph">
    <w:name w:val="List Paragraph"/>
    <w:basedOn w:val="Normal"/>
    <w:uiPriority w:val="34"/>
    <w:qFormat/>
    <w:rsid w:val="007C54B1"/>
    <w:pPr>
      <w:ind w:left="720"/>
      <w:contextualSpacing/>
    </w:pPr>
  </w:style>
  <w:style w:type="paragraph" w:styleId="Header">
    <w:name w:val="header"/>
    <w:basedOn w:val="Normal"/>
    <w:link w:val="HeaderChar"/>
    <w:uiPriority w:val="99"/>
    <w:unhideWhenUsed/>
    <w:rsid w:val="007C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1"/>
  </w:style>
  <w:style w:type="paragraph" w:styleId="Footer">
    <w:name w:val="footer"/>
    <w:basedOn w:val="Normal"/>
    <w:link w:val="FooterChar"/>
    <w:uiPriority w:val="99"/>
    <w:unhideWhenUsed/>
    <w:rsid w:val="007C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1"/>
  </w:style>
  <w:style w:type="paragraph" w:styleId="Title">
    <w:name w:val="Title"/>
    <w:basedOn w:val="Normal"/>
    <w:next w:val="Normal"/>
    <w:link w:val="TitleChar"/>
    <w:uiPriority w:val="10"/>
    <w:qFormat/>
    <w:rsid w:val="00C747C1"/>
    <w:pPr>
      <w:spacing w:after="0" w:line="240" w:lineRule="auto"/>
      <w:jc w:val="center"/>
    </w:pPr>
    <w:rPr>
      <w:rFonts w:ascii="Times New Roman" w:hAnsi="Times New Roman" w:cs="Times New Roman"/>
      <w:b/>
      <w:bCs/>
      <w:sz w:val="28"/>
    </w:rPr>
  </w:style>
  <w:style w:type="character" w:customStyle="1" w:styleId="TitleChar">
    <w:name w:val="Title Char"/>
    <w:basedOn w:val="DefaultParagraphFont"/>
    <w:link w:val="Title"/>
    <w:uiPriority w:val="10"/>
    <w:rsid w:val="00C747C1"/>
    <w:rPr>
      <w:rFonts w:ascii="Times New Roman" w:hAnsi="Times New Roman" w:cs="Times New Roman"/>
      <w:b/>
      <w:bCs/>
      <w:sz w:val="28"/>
    </w:rPr>
  </w:style>
  <w:style w:type="character" w:styleId="Strong">
    <w:name w:val="Strong"/>
    <w:uiPriority w:val="22"/>
    <w:qFormat/>
    <w:rsid w:val="00C747C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42A8A"/>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642A8A"/>
    <w:rPr>
      <w:rFonts w:ascii="Segoe UI" w:hAnsi="Segoe UI" w:cs="Segoe UI"/>
      <w:sz w:val="18"/>
      <w:szCs w:val="22"/>
    </w:rPr>
  </w:style>
  <w:style w:type="character" w:styleId="CommentReference">
    <w:name w:val="annotation reference"/>
    <w:basedOn w:val="DefaultParagraphFont"/>
    <w:uiPriority w:val="99"/>
    <w:semiHidden/>
    <w:unhideWhenUsed/>
    <w:rsid w:val="00313F90"/>
    <w:rPr>
      <w:sz w:val="16"/>
      <w:szCs w:val="16"/>
    </w:rPr>
  </w:style>
  <w:style w:type="paragraph" w:styleId="CommentText">
    <w:name w:val="annotation text"/>
    <w:basedOn w:val="Normal"/>
    <w:link w:val="CommentTextChar"/>
    <w:uiPriority w:val="99"/>
    <w:semiHidden/>
    <w:unhideWhenUsed/>
    <w:rsid w:val="00313F90"/>
    <w:pPr>
      <w:spacing w:line="240" w:lineRule="auto"/>
    </w:pPr>
    <w:rPr>
      <w:sz w:val="20"/>
      <w:szCs w:val="25"/>
    </w:rPr>
  </w:style>
  <w:style w:type="character" w:customStyle="1" w:styleId="CommentTextChar">
    <w:name w:val="Comment Text Char"/>
    <w:basedOn w:val="DefaultParagraphFont"/>
    <w:link w:val="CommentText"/>
    <w:uiPriority w:val="99"/>
    <w:semiHidden/>
    <w:rsid w:val="00313F90"/>
    <w:rPr>
      <w:sz w:val="20"/>
      <w:szCs w:val="25"/>
    </w:rPr>
  </w:style>
  <w:style w:type="paragraph" w:styleId="CommentSubject">
    <w:name w:val="annotation subject"/>
    <w:basedOn w:val="CommentText"/>
    <w:next w:val="CommentText"/>
    <w:link w:val="CommentSubjectChar"/>
    <w:uiPriority w:val="99"/>
    <w:semiHidden/>
    <w:unhideWhenUsed/>
    <w:rsid w:val="00313F90"/>
    <w:rPr>
      <w:b/>
      <w:bCs/>
    </w:rPr>
  </w:style>
  <w:style w:type="character" w:customStyle="1" w:styleId="CommentSubjectChar">
    <w:name w:val="Comment Subject Char"/>
    <w:basedOn w:val="CommentTextChar"/>
    <w:link w:val="CommentSubject"/>
    <w:uiPriority w:val="99"/>
    <w:semiHidden/>
    <w:rsid w:val="00313F90"/>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 resumen de sus derechos en virtud de la Ley de Informe Justo de Crédito</vt:lpstr>
    </vt:vector>
  </TitlesOfParts>
  <Company>Consumer Financial Protection Bureau</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resumen de sus derechos en virtud de la Ley de Informe Justo de Crédito</dc:title>
  <dc:creator>Bureau of Consumer Financial Protection</dc:creator>
  <cp:lastModifiedBy>Adam Nager</cp:lastModifiedBy>
  <cp:revision>2</cp:revision>
  <cp:lastPrinted>2018-09-06T16:42:00Z</cp:lastPrinted>
  <dcterms:created xsi:type="dcterms:W3CDTF">2020-07-14T14:17:00Z</dcterms:created>
  <dcterms:modified xsi:type="dcterms:W3CDTF">2020-07-14T14:17:00Z</dcterms:modified>
</cp:coreProperties>
</file>